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rPr>
        <w:t>2</w:t>
      </w:r>
      <w:r>
        <w:rPr>
          <w:rFonts w:hint="eastAsia" w:ascii="黑体" w:hAnsi="宋体" w:eastAsia="黑体" w:cs="黑体"/>
          <w:lang w:val="en-US" w:eastAsia="zh-CN"/>
        </w:rPr>
        <w:t>4</w:t>
      </w:r>
      <w:r>
        <w:rPr>
          <w:rFonts w:ascii="黑体" w:hAnsi="宋体" w:eastAsia="黑体" w:cs="黑体"/>
        </w:rPr>
        <w:t xml:space="preserve">]    </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sz w:val="24"/>
          <w:szCs w:val="24"/>
          <w:u w:val="single"/>
        </w:rPr>
        <w:t>致同（北京）税务师事务所有限责任公司</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依照《中华人民共和国民法典》《中华人民共和国资产评估法》等法律、行政法规，经甲乙双方平等协商，特订立本合同，以资共同信守。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hint="eastAsia" w:ascii="宋体" w:hAnsi="宋体" w:cs="宋体"/>
          <w:b/>
          <w:bCs/>
          <w:sz w:val="24"/>
          <w:szCs w:val="24"/>
          <w:u w:val="single"/>
        </w:rPr>
        <w:t>北京市朝阳区北四环中路“盘古大观”78套公寓用房房地产市场租金水平评估</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rPr>
        <w:t>市场租金水平评估</w:t>
      </w:r>
    </w:p>
    <w:p>
      <w:pPr>
        <w:pStyle w:val="12"/>
        <w:spacing w:before="62" w:beforeLines="20" w:after="62" w:afterLines="20" w:line="480" w:lineRule="auto"/>
        <w:ind w:firstLine="482" w:firstLineChars="200"/>
        <w:rPr>
          <w:rFonts w:cs="Times New Roman"/>
        </w:rPr>
      </w:pPr>
      <w:r>
        <w:rPr>
          <w:rFonts w:hint="eastAsia"/>
        </w:rPr>
        <w:t>三、估价对象和估价范围见附件</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20</w:t>
      </w:r>
      <w:r>
        <w:rPr>
          <w:rFonts w:hint="eastAsia" w:ascii="宋体" w:hAnsi="宋体" w:cs="宋体"/>
          <w:b/>
          <w:bCs/>
          <w:sz w:val="24"/>
          <w:szCs w:val="24"/>
          <w:u w:val="single"/>
        </w:rPr>
        <w:t>2</w:t>
      </w:r>
      <w:r>
        <w:rPr>
          <w:rFonts w:hint="eastAsia" w:ascii="宋体" w:hAnsi="宋体" w:cs="宋体"/>
          <w:b/>
          <w:bCs/>
          <w:sz w:val="24"/>
          <w:szCs w:val="24"/>
          <w:u w:val="single"/>
          <w:lang w:val="en-US" w:eastAsia="zh-CN"/>
        </w:rPr>
        <w:t>4</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1</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1</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pPr>
        <w:spacing w:before="62" w:beforeLines="20" w:after="62" w:afterLines="20" w:line="480" w:lineRule="auto"/>
        <w:ind w:firstLine="482" w:firstLineChars="200"/>
        <w:rPr>
          <w:rFonts w:hint="eastAsia" w:ascii="宋体" w:eastAsia="宋体"/>
          <w:sz w:val="24"/>
          <w:szCs w:val="24"/>
          <w:lang w:eastAsia="zh-CN"/>
        </w:rPr>
      </w:pPr>
      <w:r>
        <w:rPr>
          <w:rFonts w:hint="eastAsia" w:ascii="宋体" w:hAnsi="宋体" w:cs="宋体"/>
          <w:b/>
          <w:bCs/>
          <w:sz w:val="24"/>
          <w:szCs w:val="24"/>
        </w:rPr>
        <w:t>五、价值类型：</w:t>
      </w:r>
      <w:r>
        <w:rPr>
          <w:rFonts w:hint="eastAsia" w:ascii="宋体" w:hAnsi="宋体" w:cs="宋体"/>
          <w:b/>
          <w:bCs/>
          <w:sz w:val="24"/>
          <w:szCs w:val="24"/>
          <w:u w:val="single"/>
        </w:rPr>
        <w:t>市场</w:t>
      </w:r>
      <w:r>
        <w:rPr>
          <w:rFonts w:hint="eastAsia" w:ascii="宋体" w:hAnsi="宋体" w:cs="宋体"/>
          <w:b/>
          <w:bCs/>
          <w:sz w:val="24"/>
          <w:szCs w:val="24"/>
          <w:u w:val="single"/>
          <w:lang w:val="en-US" w:eastAsia="zh-CN"/>
        </w:rPr>
        <w:t>租金</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______</w:t>
      </w:r>
      <w:r>
        <w:rPr>
          <w:rFonts w:hint="eastAsia" w:ascii="宋体" w:hAnsi="宋体" w:cs="宋体"/>
          <w:sz w:val="24"/>
          <w:szCs w:val="24"/>
        </w:rPr>
        <w:t>年</w:t>
      </w:r>
      <w:r>
        <w:rPr>
          <w:rFonts w:ascii="宋体" w:hAnsi="宋体" w:cs="宋体"/>
          <w:sz w:val="24"/>
          <w:szCs w:val="24"/>
        </w:rPr>
        <w:t>______</w:t>
      </w:r>
      <w:r>
        <w:rPr>
          <w:rFonts w:hint="eastAsia" w:ascii="宋体" w:hAnsi="宋体" w:cs="宋体"/>
          <w:sz w:val="24"/>
          <w:szCs w:val="24"/>
        </w:rPr>
        <w:t>月</w:t>
      </w:r>
      <w:r>
        <w:rPr>
          <w:rFonts w:ascii="宋体" w:hAnsi="宋体" w:cs="宋体"/>
          <w:sz w:val="24"/>
          <w:szCs w:val="24"/>
        </w:rPr>
        <w:t>______</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lang w:val="en-US" w:eastAsia="zh-CN"/>
        </w:rPr>
        <w:t>贰</w:t>
      </w:r>
      <w:r>
        <w:rPr>
          <w:rFonts w:ascii="宋体" w:hAnsi="宋体" w:cs="宋体"/>
          <w:sz w:val="24"/>
          <w:szCs w:val="24"/>
          <w:u w:val="single"/>
        </w:rPr>
        <w:t xml:space="preserve"> </w:t>
      </w:r>
      <w:r>
        <w:rPr>
          <w:rFonts w:hint="eastAsia" w:ascii="宋体" w:hAnsi="宋体" w:cs="宋体"/>
          <w:sz w:val="24"/>
          <w:szCs w:val="24"/>
        </w:rPr>
        <w:t>万元。差旅费用（包括乙方人员往来估价对象不动产所在地），由</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支付，乙方工作人员在估价对象不动产所在地食宿、交通、必要的办公场所通讯费用由</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支付。</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日内，甲方即支付给乙方</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万元作为定金；乙方提交正式《不动产估价报告书》三日内，甲方支付给乙方</w:t>
      </w:r>
      <w:r>
        <w:rPr>
          <w:rFonts w:ascii="宋体" w:hAnsi="宋体" w:cs="宋体"/>
          <w:sz w:val="24"/>
          <w:szCs w:val="24"/>
          <w:u w:val="single"/>
        </w:rPr>
        <w:t xml:space="preserve"> </w:t>
      </w:r>
      <w:r>
        <w:rPr>
          <w:rFonts w:hint="eastAsia" w:ascii="宋体" w:hAnsi="宋体" w:cs="宋体"/>
          <w:sz w:val="24"/>
          <w:szCs w:val="24"/>
          <w:u w:val="single"/>
          <w:lang w:val="en-US" w:eastAsia="zh-CN"/>
        </w:rPr>
        <w:t>贰</w:t>
      </w:r>
      <w:r>
        <w:rPr>
          <w:rFonts w:ascii="宋体" w:hAnsi="宋体" w:cs="宋体"/>
          <w:sz w:val="24"/>
          <w:szCs w:val="24"/>
          <w:u w:val="single"/>
        </w:rPr>
        <w:t xml:space="preserve"> </w:t>
      </w:r>
      <w:r>
        <w:rPr>
          <w:rFonts w:hint="eastAsia" w:ascii="宋体" w:hAnsi="宋体" w:cs="宋体"/>
          <w:sz w:val="24"/>
          <w:szCs w:val="24"/>
        </w:rPr>
        <w:t>万元。乙方应在每次收款前提供等额的增值税专用发票。</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3.甲方如未按上述条款规定的时间向乙方支付估价服务费，以甲方应付款项为基数，从逾期之日起，每逾期一日，甲方向乙方支付应付款项的万分之五作为违约金。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4.乙方如无正当理由，逾期交付《不动产估价报告书》，每逾期一日，乙方向甲方支付估价服务费的万分之五作为违约金。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凡因本合同或与本合同有关的一切争议，甲、乙双方应友好协商解决；协商不成的，任何一方均有权向乙方住所地人民法院提起诉讼。</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份，具有同等法律效力。</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ind w:right="105" w:firstLine="496"/>
        <w:rPr>
          <w:sz w:val="24"/>
          <w:szCs w:val="24"/>
        </w:rPr>
      </w:pPr>
    </w:p>
    <w:p>
      <w:pPr>
        <w:ind w:right="105" w:firstLine="496"/>
        <w:rPr>
          <w:sz w:val="24"/>
          <w:szCs w:val="24"/>
        </w:rPr>
      </w:pPr>
    </w:p>
    <w:p>
      <w:pPr>
        <w:ind w:right="105" w:firstLine="496"/>
        <w:rPr>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rFonts w:hint="eastAsia" w:cs="宋体"/>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p>
      <w:pPr>
        <w:spacing w:line="480" w:lineRule="auto"/>
        <w:ind w:right="108" w:firstLine="493"/>
        <w:rPr>
          <w:rFonts w:hint="eastAsia" w:cs="宋体"/>
          <w:sz w:val="24"/>
          <w:szCs w:val="24"/>
        </w:rPr>
      </w:pPr>
    </w:p>
    <w:p>
      <w:pPr>
        <w:spacing w:line="480" w:lineRule="auto"/>
        <w:ind w:right="108" w:firstLine="493"/>
        <w:rPr>
          <w:rFonts w:cs="宋体"/>
          <w:sz w:val="24"/>
          <w:szCs w:val="24"/>
        </w:rPr>
      </w:pPr>
      <w:r>
        <w:rPr>
          <w:rFonts w:hint="eastAsia" w:cs="宋体"/>
          <w:sz w:val="24"/>
          <w:szCs w:val="24"/>
        </w:rPr>
        <w:t>附件：                     评估明细</w:t>
      </w:r>
    </w:p>
    <w:tbl>
      <w:tblPr>
        <w:tblStyle w:val="14"/>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850"/>
        <w:gridCol w:w="1590"/>
        <w:gridCol w:w="1780"/>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960" w:type="dxa"/>
            <w:shd w:val="clear" w:color="auto" w:fill="auto"/>
            <w:noWrap/>
            <w:vAlign w:val="center"/>
          </w:tcPr>
          <w:p>
            <w:pPr>
              <w:rPr>
                <w:rFonts w:ascii="Arial" w:hAnsi="Arial" w:eastAsia="华文细黑" w:cs="Arial"/>
                <w:b/>
                <w:bCs/>
                <w:sz w:val="18"/>
                <w:szCs w:val="18"/>
              </w:rPr>
            </w:pPr>
            <w:r>
              <w:rPr>
                <w:rFonts w:ascii="Arial" w:hAnsi="Arial" w:eastAsia="华文细黑" w:cs="Arial"/>
                <w:b/>
                <w:bCs/>
                <w:sz w:val="18"/>
                <w:szCs w:val="18"/>
              </w:rPr>
              <w:t>序号</w:t>
            </w:r>
          </w:p>
        </w:tc>
        <w:tc>
          <w:tcPr>
            <w:tcW w:w="1850" w:type="dxa"/>
            <w:shd w:val="clear" w:color="auto" w:fill="auto"/>
            <w:vAlign w:val="center"/>
          </w:tcPr>
          <w:p>
            <w:pPr>
              <w:rPr>
                <w:rFonts w:ascii="Arial" w:hAnsi="Arial" w:eastAsia="华文细黑" w:cs="Arial"/>
                <w:b/>
                <w:bCs/>
                <w:sz w:val="18"/>
                <w:szCs w:val="18"/>
              </w:rPr>
            </w:pPr>
            <w:r>
              <w:rPr>
                <w:rFonts w:ascii="Arial" w:hAnsi="Arial" w:eastAsia="华文细黑" w:cs="Arial"/>
                <w:b/>
                <w:bCs/>
                <w:sz w:val="18"/>
                <w:szCs w:val="18"/>
              </w:rPr>
              <w:t>单元号</w:t>
            </w:r>
          </w:p>
        </w:tc>
        <w:tc>
          <w:tcPr>
            <w:tcW w:w="1590" w:type="dxa"/>
            <w:shd w:val="clear" w:color="auto" w:fill="auto"/>
            <w:vAlign w:val="center"/>
          </w:tcPr>
          <w:p>
            <w:pPr>
              <w:rPr>
                <w:rFonts w:ascii="Arial" w:hAnsi="Arial" w:eastAsia="华文细黑" w:cs="Arial"/>
                <w:b/>
                <w:bCs/>
                <w:sz w:val="18"/>
                <w:szCs w:val="18"/>
              </w:rPr>
            </w:pPr>
            <w:r>
              <w:rPr>
                <w:rFonts w:ascii="Arial" w:hAnsi="Arial" w:eastAsia="华文细黑" w:cs="Arial"/>
                <w:b/>
                <w:bCs/>
                <w:sz w:val="18"/>
                <w:szCs w:val="18"/>
              </w:rPr>
              <w:t>房号</w:t>
            </w:r>
          </w:p>
        </w:tc>
        <w:tc>
          <w:tcPr>
            <w:tcW w:w="1780" w:type="dxa"/>
            <w:shd w:val="clear" w:color="auto" w:fill="auto"/>
            <w:vAlign w:val="center"/>
          </w:tcPr>
          <w:p>
            <w:pPr>
              <w:rPr>
                <w:rFonts w:ascii="Arial" w:hAnsi="Arial" w:eastAsia="华文细黑" w:cs="Arial"/>
                <w:b/>
                <w:bCs/>
                <w:sz w:val="18"/>
                <w:szCs w:val="18"/>
              </w:rPr>
            </w:pPr>
            <w:r>
              <w:rPr>
                <w:rFonts w:ascii="Arial" w:hAnsi="Arial" w:eastAsia="华文细黑" w:cs="Arial"/>
                <w:b/>
                <w:bCs/>
                <w:sz w:val="18"/>
                <w:szCs w:val="18"/>
              </w:rPr>
              <w:t>建筑面积</w:t>
            </w:r>
            <w:r>
              <w:rPr>
                <w:rFonts w:hint="eastAsia" w:ascii="Arial" w:hAnsi="Arial" w:eastAsia="华文细黑" w:cs="Arial"/>
                <w:b/>
                <w:bCs/>
                <w:sz w:val="18"/>
                <w:szCs w:val="18"/>
              </w:rPr>
              <w:t>（㎡）</w:t>
            </w:r>
          </w:p>
        </w:tc>
        <w:tc>
          <w:tcPr>
            <w:tcW w:w="3119" w:type="dxa"/>
            <w:shd w:val="clear" w:color="auto" w:fill="auto"/>
            <w:noWrap/>
            <w:vAlign w:val="center"/>
          </w:tcPr>
          <w:p>
            <w:pPr>
              <w:rPr>
                <w:rFonts w:ascii="Arial" w:hAnsi="Arial" w:eastAsia="华文细黑" w:cs="Arial"/>
                <w:b/>
                <w:bCs/>
                <w:sz w:val="18"/>
                <w:szCs w:val="18"/>
              </w:rPr>
            </w:pPr>
            <w:r>
              <w:rPr>
                <w:rFonts w:hint="eastAsia" w:ascii="Arial" w:hAnsi="Arial" w:eastAsia="华文细黑" w:cs="Arial"/>
                <w:b/>
                <w:bCs/>
                <w:sz w:val="18"/>
                <w:szCs w:val="18"/>
                <w:lang w:val="en-US" w:eastAsia="zh-CN"/>
              </w:rPr>
              <w:t>《不动产权证书》证号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667.71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京(2024)朝不动产权第0011604号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667.71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京(2024)朝不动产权第0013103号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667.71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京(2024)朝不动产权第0013114号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4</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801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667.71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京(2024)朝不动产权第0013115号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901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667.71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京(2024)朝不动产权第0013117号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667.71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京(2024)朝不动产权第0013118号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667.71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京(2024)朝不动产权第0013120号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8</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667.71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京(2024)朝不动产权第0013122号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9</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667.71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京(2024)朝不动产权第0013123号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1701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651.42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京(2023)朝不动产权第0119872号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1801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651.42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京(2023)朝不动产权第0119876号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2101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651.42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京(2023)朝不动产权第0119877号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13</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671.55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京(2023)朝不动产权第0119869号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14</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9单元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671.35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京(2023)朝不动产权第0119054号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9单元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671.35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京(2023)朝不动产权第0119922号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16</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9单元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1801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671.35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京(2023)朝不动产权第0122752号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17</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9单元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1901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671.35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京(2023)朝不动产权第0120981号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18</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9单元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2101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671.35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京(2023)朝不动产权第0121544号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19</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655.67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京(2023)朝不动产权第0121543号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20</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655.67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京(2023)朝不动产权第0121541号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21</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655.67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22</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801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655.67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23</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1601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655.67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24</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655.67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京(2023)朝不动产权第0120583号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25</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2101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655.67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26</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京(2023)朝不动产权第0122924号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27</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京(2024)朝不动产权第0000869号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28</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29</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801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30</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901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31</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京(2023)朝不动产权第0119868号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32</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1601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京(2023)朝不动产权第0121539号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33</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1701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京(2023)朝不动产权第0121537号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34</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京(2023)朝不动产权第0121536号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35</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2101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京(2023)朝不动产权第0121538号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36</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647.72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京(2023)朝不动产权第0121547号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37</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647.72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京(2023)朝不动产权第0121546号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38</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647.72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京(2023)朝不动产权第0121339号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39</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801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647.72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京(2023)朝不动产权第0121320号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40</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647.72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京(2023)朝不动产权第0121329号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41</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1701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647.72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42</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1801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647.72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京(2023)朝不动产权第0121342号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43</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1901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647.72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京(2023)朝不动产权第0121348号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44</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647.72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京(2023)朝不动产权第0121334号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45</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2101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647.72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京(2023)朝不动产权第0121346号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46</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2201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647.72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京(2023)朝不动产权第0121337号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47</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901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京(2023)朝不动产权第0121323号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48</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京(2023)朝不动产权第0120861号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49</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京(2023)朝不动产权第0120862号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50</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1201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京(2023)朝不动产权第0120877号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51</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京(2023)朝不动产权第0120803号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52</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1601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京(2023)朝不动产权第0120805号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53</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1701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京(2023)朝不动产权第0120811号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54</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1801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京(2023)朝不动产权第0120872号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55</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1901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京(2023)朝不动产权第0120807号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56</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京(2023)朝不动产权第0120865号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57</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2101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京(2023)朝不动产权第0120806号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58</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2201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京(2023)朝不动产权第0121548号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59</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1901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651.42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60</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651.42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京(2023)朝不动产权第0122905号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61</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3单元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2201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651.42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京(2023)朝不动产权第0122904号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62</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1901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671.55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京(2023)朝不动产权第0122901号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63</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671.55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京(2023)朝不动产权第0122899号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64</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2101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671.55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京(2023)朝不动产权第0122895号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65</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2201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671.55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京(2023)朝不动产权第0122894号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66</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668.68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京(2023)朝不动产权第0122890号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67</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2201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668.68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京(2023)朝不动产权第0122910号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68</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2001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649.45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京(2023)朝不动产权第0122915号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69</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2101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649.45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京(2023)朝不动产权第0122918号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70</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2201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649.45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京(2023)朝不动产权第0122922号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71</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8单元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2101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651.42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京(2023)朝不动产权第0122885号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72</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8单元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2201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651.42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京(2023)朝不动产权第0122883号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73</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10单元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2201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655.67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74</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1801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75</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11单元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1901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666.17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京(2024)朝不动产权第0000879号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76</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601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77</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78</w:t>
            </w:r>
          </w:p>
        </w:tc>
        <w:tc>
          <w:tcPr>
            <w:tcW w:w="185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15单元</w:t>
            </w:r>
          </w:p>
        </w:tc>
        <w:tc>
          <w:tcPr>
            <w:tcW w:w="159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801</w:t>
            </w:r>
          </w:p>
        </w:tc>
        <w:tc>
          <w:tcPr>
            <w:tcW w:w="1780" w:type="dxa"/>
            <w:shd w:val="clear" w:color="auto" w:fill="auto"/>
            <w:noWrap/>
            <w:vAlign w:val="center"/>
          </w:tcPr>
          <w:p>
            <w:pPr>
              <w:rPr>
                <w:rFonts w:ascii="Arial" w:hAnsi="Arial" w:eastAsia="华文细黑" w:cs="Arial"/>
                <w:sz w:val="18"/>
                <w:szCs w:val="18"/>
              </w:rPr>
            </w:pPr>
            <w:r>
              <w:rPr>
                <w:rFonts w:ascii="Arial" w:hAnsi="Arial" w:eastAsia="华文细黑" w:cs="Arial"/>
                <w:sz w:val="18"/>
                <w:szCs w:val="18"/>
              </w:rPr>
              <w:t xml:space="preserve">672.83 </w:t>
            </w:r>
          </w:p>
        </w:tc>
        <w:tc>
          <w:tcPr>
            <w:tcW w:w="3119" w:type="dxa"/>
            <w:shd w:val="clear" w:color="auto" w:fill="auto"/>
            <w:noWrap/>
            <w:vAlign w:val="center"/>
          </w:tcPr>
          <w:p>
            <w:pPr>
              <w:rPr>
                <w:rFonts w:ascii="Arial" w:hAnsi="Arial" w:eastAsia="华文细黑" w:cs="Arial"/>
                <w:sz w:val="18"/>
                <w:szCs w:val="18"/>
              </w:rPr>
            </w:pPr>
            <w:r>
              <w:rPr>
                <w:rFonts w:hint="eastAsia" w:ascii="Arial" w:hAnsi="Arial" w:eastAsia="华文细黑" w:cs="Arial"/>
                <w:sz w:val="18"/>
                <w:szCs w:val="18"/>
                <w:lang w:val="en-US" w:eastAsia="zh-CN"/>
              </w:rPr>
              <w:t>京(2024)朝不动产权第0000901号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400" w:type="dxa"/>
            <w:gridSpan w:val="3"/>
            <w:shd w:val="clear" w:color="auto" w:fill="auto"/>
            <w:noWrap/>
            <w:vAlign w:val="center"/>
          </w:tcPr>
          <w:p>
            <w:pPr>
              <w:rPr>
                <w:rFonts w:ascii="Arial" w:hAnsi="Arial" w:eastAsia="华文细黑" w:cs="Arial"/>
                <w:sz w:val="18"/>
                <w:szCs w:val="18"/>
              </w:rPr>
            </w:pPr>
            <w:r>
              <w:rPr>
                <w:rFonts w:ascii="Arial" w:hAnsi="Arial" w:eastAsia="华文细黑" w:cs="Arial"/>
                <w:b/>
                <w:sz w:val="18"/>
                <w:szCs w:val="18"/>
              </w:rPr>
              <w:t>合计</w:t>
            </w:r>
          </w:p>
        </w:tc>
        <w:tc>
          <w:tcPr>
            <w:tcW w:w="1780" w:type="dxa"/>
            <w:shd w:val="clear" w:color="auto" w:fill="auto"/>
            <w:noWrap/>
            <w:vAlign w:val="center"/>
          </w:tcPr>
          <w:p>
            <w:pPr>
              <w:rPr>
                <w:rFonts w:ascii="Arial" w:hAnsi="Arial" w:eastAsia="华文细黑" w:cs="Arial"/>
                <w:sz w:val="18"/>
                <w:szCs w:val="18"/>
              </w:rPr>
            </w:pPr>
            <w:r>
              <w:rPr>
                <w:rFonts w:hint="eastAsia" w:ascii="Arial" w:hAnsi="Arial" w:eastAsia="华文细黑" w:cs="Arial"/>
                <w:b/>
                <w:sz w:val="18"/>
                <w:szCs w:val="18"/>
              </w:rPr>
              <w:t>51677.73</w:t>
            </w:r>
          </w:p>
        </w:tc>
        <w:tc>
          <w:tcPr>
            <w:tcW w:w="3119" w:type="dxa"/>
            <w:shd w:val="clear" w:color="auto" w:fill="auto"/>
            <w:noWrap/>
            <w:vAlign w:val="center"/>
          </w:tcPr>
          <w:p>
            <w:pPr>
              <w:rPr>
                <w:rFonts w:hint="eastAsia" w:ascii="Arial" w:hAnsi="Arial" w:eastAsia="华文细黑" w:cs="Arial"/>
                <w:sz w:val="18"/>
                <w:szCs w:val="18"/>
                <w:lang w:val="en-US" w:eastAsia="zh-CN"/>
              </w:rPr>
            </w:pPr>
            <w:r>
              <w:rPr>
                <w:rFonts w:hint="eastAsia" w:ascii="Arial" w:hAnsi="Arial" w:eastAsia="华文细黑" w:cs="Arial"/>
                <w:sz w:val="18"/>
                <w:szCs w:val="18"/>
                <w:lang w:val="en-US" w:eastAsia="zh-CN"/>
              </w:rPr>
              <w:t>——</w:t>
            </w:r>
          </w:p>
        </w:tc>
      </w:tr>
    </w:tbl>
    <w:p>
      <w:pPr>
        <w:spacing w:line="480" w:lineRule="auto"/>
        <w:ind w:right="108" w:firstLine="493"/>
        <w:rPr>
          <w:rFonts w:hint="eastAsia" w:cs="宋体"/>
          <w:sz w:val="24"/>
          <w:szCs w:val="24"/>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5</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E03AC"/>
    <w:rsid w:val="00781AB2"/>
    <w:rsid w:val="007A2139"/>
    <w:rsid w:val="007D0891"/>
    <w:rsid w:val="007D2EC2"/>
    <w:rsid w:val="00834F20"/>
    <w:rsid w:val="008B00A9"/>
    <w:rsid w:val="008D4FDE"/>
    <w:rsid w:val="008E11D1"/>
    <w:rsid w:val="009117F5"/>
    <w:rsid w:val="009A161C"/>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C4782"/>
    <w:rsid w:val="00FD0271"/>
    <w:rsid w:val="00FE49CB"/>
    <w:rsid w:val="00FF584C"/>
    <w:rsid w:val="6F1F41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autoRedefine/>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iPriority w:val="99"/>
    <w:pPr>
      <w:jc w:val="left"/>
    </w:pPr>
    <w:rPr>
      <w:rFonts w:eastAsia="仿宋_GB2312"/>
      <w:sz w:val="30"/>
      <w:szCs w:val="30"/>
    </w:rPr>
  </w:style>
  <w:style w:type="paragraph" w:styleId="4">
    <w:name w:val="Body Text"/>
    <w:basedOn w:val="1"/>
    <w:link w:val="21"/>
    <w:autoRedefine/>
    <w:qFormat/>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autoRedefine/>
    <w:semiHidden/>
    <w:unhideWhenUsed/>
    <w:qFormat/>
    <w:uiPriority w:val="99"/>
    <w:rPr>
      <w:sz w:val="18"/>
      <w:szCs w:val="18"/>
    </w:rPr>
  </w:style>
  <w:style w:type="paragraph" w:styleId="8">
    <w:name w:val="footer"/>
    <w:basedOn w:val="1"/>
    <w:link w:val="25"/>
    <w:autoRedefine/>
    <w:qFormat/>
    <w:uiPriority w:val="99"/>
    <w:pPr>
      <w:tabs>
        <w:tab w:val="center" w:pos="4153"/>
        <w:tab w:val="right" w:pos="8306"/>
      </w:tabs>
      <w:snapToGrid w:val="0"/>
      <w:jc w:val="left"/>
    </w:pPr>
    <w:rPr>
      <w:sz w:val="18"/>
      <w:szCs w:val="18"/>
    </w:rPr>
  </w:style>
  <w:style w:type="paragraph" w:styleId="9">
    <w:name w:val="header"/>
    <w:basedOn w:val="1"/>
    <w:link w:val="24"/>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autoRedefine/>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autoRedefine/>
    <w:semiHidden/>
    <w:unhideWhenUsed/>
    <w:qFormat/>
    <w:uiPriority w:val="99"/>
    <w:rPr>
      <w:rFonts w:eastAsia="宋体"/>
      <w:b/>
      <w:bCs/>
      <w:sz w:val="21"/>
      <w:szCs w:val="21"/>
    </w:rPr>
  </w:style>
  <w:style w:type="character" w:styleId="16">
    <w:name w:val="annotation reference"/>
    <w:semiHidden/>
    <w:unhideWhenUsed/>
    <w:uiPriority w:val="99"/>
    <w:rPr>
      <w:sz w:val="21"/>
      <w:szCs w:val="21"/>
    </w:rPr>
  </w:style>
  <w:style w:type="character" w:customStyle="1" w:styleId="17">
    <w:name w:val="标题 1 Char"/>
    <w:link w:val="2"/>
    <w:autoRedefine/>
    <w:qFormat/>
    <w:locked/>
    <w:uiPriority w:val="99"/>
    <w:rPr>
      <w:b/>
      <w:bCs/>
      <w:kern w:val="44"/>
      <w:sz w:val="44"/>
      <w:szCs w:val="44"/>
    </w:rPr>
  </w:style>
  <w:style w:type="paragraph" w:styleId="18">
    <w:name w:val="List Paragraph"/>
    <w:basedOn w:val="1"/>
    <w:autoRedefine/>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locked/>
    <w:uiPriority w:val="99"/>
    <w:rPr>
      <w:rFonts w:ascii="Times New Roman" w:hAnsi="Times New Roman" w:eastAsia="仿宋_GB2312" w:cs="Times New Roman"/>
      <w:sz w:val="20"/>
      <w:szCs w:val="20"/>
    </w:rPr>
  </w:style>
  <w:style w:type="character" w:customStyle="1" w:styleId="21">
    <w:name w:val="正文文本 Char"/>
    <w:link w:val="4"/>
    <w:autoRedefine/>
    <w:qFormat/>
    <w:locked/>
    <w:uiPriority w:val="99"/>
    <w:rPr>
      <w:rFonts w:ascii="Times New Roman" w:hAnsi="Times New Roman" w:eastAsia="仿宋_GB2312" w:cs="Times New Roman"/>
      <w:sz w:val="20"/>
      <w:szCs w:val="20"/>
    </w:rPr>
  </w:style>
  <w:style w:type="character" w:customStyle="1" w:styleId="22">
    <w:name w:val="正文文本 2 Char"/>
    <w:link w:val="12"/>
    <w:locked/>
    <w:uiPriority w:val="99"/>
    <w:rPr>
      <w:rFonts w:ascii="宋体" w:hAnsi="宋体" w:eastAsia="宋体" w:cs="宋体"/>
      <w:b/>
      <w:bCs/>
      <w:sz w:val="20"/>
      <w:szCs w:val="20"/>
    </w:rPr>
  </w:style>
  <w:style w:type="character" w:customStyle="1" w:styleId="23">
    <w:name w:val="批注文字 Char"/>
    <w:link w:val="3"/>
    <w:semiHidden/>
    <w:locked/>
    <w:uiPriority w:val="99"/>
    <w:rPr>
      <w:rFonts w:ascii="Times New Roman" w:hAnsi="Times New Roman" w:eastAsia="仿宋_GB2312" w:cs="Times New Roman"/>
      <w:sz w:val="30"/>
      <w:szCs w:val="30"/>
    </w:rPr>
  </w:style>
  <w:style w:type="character" w:customStyle="1" w:styleId="24">
    <w:name w:val="页眉 Char"/>
    <w:link w:val="9"/>
    <w:autoRedefine/>
    <w:semiHidden/>
    <w:qFormat/>
    <w:locked/>
    <w:uiPriority w:val="99"/>
    <w:rPr>
      <w:rFonts w:ascii="Times New Roman" w:hAnsi="Times New Roman" w:eastAsia="宋体" w:cs="Times New Roman"/>
      <w:sz w:val="18"/>
      <w:szCs w:val="18"/>
    </w:rPr>
  </w:style>
  <w:style w:type="character" w:customStyle="1" w:styleId="25">
    <w:name w:val="页脚 Char"/>
    <w:link w:val="8"/>
    <w:locked/>
    <w:uiPriority w:val="99"/>
    <w:rPr>
      <w:rFonts w:ascii="Times New Roman" w:hAnsi="Times New Roman" w:eastAsia="宋体" w:cs="Times New Roman"/>
      <w:sz w:val="18"/>
      <w:szCs w:val="18"/>
    </w:rPr>
  </w:style>
  <w:style w:type="character" w:customStyle="1" w:styleId="26">
    <w:name w:val="批注主题 Char"/>
    <w:link w:val="13"/>
    <w:semiHidden/>
    <w:uiPriority w:val="99"/>
    <w:rPr>
      <w:rFonts w:ascii="Times New Roman" w:hAnsi="Times New Roman" w:eastAsia="仿宋_GB2312" w:cs="Times New Roman"/>
      <w:b/>
      <w:bCs/>
      <w:kern w:val="2"/>
      <w:sz w:val="21"/>
      <w:szCs w:val="21"/>
    </w:rPr>
  </w:style>
  <w:style w:type="character" w:customStyle="1" w:styleId="27">
    <w:name w:val="批注框文本 Char"/>
    <w:link w:val="7"/>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474</Words>
  <Characters>2707</Characters>
  <Lines>22</Lines>
  <Paragraphs>6</Paragraphs>
  <TotalTime>2</TotalTime>
  <ScaleCrop>false</ScaleCrop>
  <LinksUpToDate>false</LinksUpToDate>
  <CharactersWithSpaces>3175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win10G</cp:lastModifiedBy>
  <cp:lastPrinted>2016-12-07T02:30:00Z</cp:lastPrinted>
  <dcterms:modified xsi:type="dcterms:W3CDTF">2024-04-09T05:30:19Z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650AFB79C9D74EDB89A8CE2C2A7CFFEB_12</vt:lpwstr>
  </property>
</Properties>
</file>